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A8C87">
      <w:pPr>
        <w:pStyle w:val="11"/>
        <w:jc w:val="center"/>
        <w:rPr>
          <w:rFonts w:hint="eastAsia" w:ascii="方正公文小标宋" w:hAnsi="方正公文小标宋" w:eastAsia="方正公文小标宋" w:cs="方正公文小标宋"/>
          <w:i w:val="0"/>
          <w:color w:val="555555"/>
          <w:sz w:val="44"/>
          <w:szCs w:val="44"/>
        </w:rPr>
      </w:pPr>
      <w:r>
        <w:rPr>
          <w:rFonts w:hint="eastAsia" w:ascii="方正公文小标宋" w:hAnsi="方正公文小标宋" w:eastAsia="方正公文小标宋" w:cs="方正公文小标宋"/>
          <w:i w:val="0"/>
          <w:color w:val="555555"/>
          <w:sz w:val="44"/>
          <w:szCs w:val="44"/>
        </w:rPr>
        <w:t>用户需求</w:t>
      </w:r>
    </w:p>
    <w:p w14:paraId="577F6B0B">
      <w:pPr>
        <w:pStyle w:val="2"/>
        <w:numPr>
          <w:ilvl w:val="0"/>
          <w:numId w:val="1"/>
        </w:numPr>
        <w:topLinePunct w:val="0"/>
        <w:ind w:left="0" w:leftChars="0" w:firstLine="640" w:firstLineChars="0"/>
        <w:rPr>
          <w:b w:val="0"/>
        </w:rPr>
      </w:pPr>
      <w:r>
        <w:t>项目概况</w:t>
      </w:r>
    </w:p>
    <w:p w14:paraId="32BB00C1">
      <w:pPr>
        <w:pStyle w:val="11"/>
        <w:numPr>
          <w:ilvl w:val="0"/>
          <w:numId w:val="2"/>
        </w:numPr>
        <w:topLinePunct w:val="0"/>
        <w:ind w:left="0" w:leftChars="0" w:firstLine="616" w:firstLineChars="0"/>
        <w:rPr>
          <w:rFonts w:hint="eastAsia" w:ascii="仿宋_GB2312" w:hAnsi="仿宋_GB2312" w:eastAsia="仿宋_GB2312" w:cs="Times New Roman"/>
        </w:rPr>
      </w:pPr>
      <w:r>
        <w:rPr>
          <w:rStyle w:val="19"/>
        </w:rPr>
        <w:t>项目名称</w:t>
      </w:r>
      <w:r>
        <w:rPr>
          <w:i w:val="0"/>
          <w:color w:val="555555"/>
        </w:rPr>
        <w:t>：</w:t>
      </w:r>
      <w:r>
        <w:rPr>
          <w:rFonts w:ascii="仿宋_GB2312" w:hAnsi="仿宋_GB2312" w:eastAsia="仿宋_GB2312" w:cs="Times New Roman"/>
        </w:rPr>
        <w:t>中山市第二人民医院电力市场化交易服务项目</w:t>
      </w:r>
    </w:p>
    <w:p w14:paraId="66692985">
      <w:pPr>
        <w:pStyle w:val="11"/>
        <w:numPr>
          <w:ilvl w:val="0"/>
          <w:numId w:val="2"/>
        </w:numPr>
        <w:topLinePunct w:val="0"/>
        <w:ind w:left="0" w:leftChars="0" w:firstLine="616" w:firstLineChars="0"/>
        <w:rPr>
          <w:rFonts w:hint="eastAsia" w:ascii="楷体_GB2312" w:hAnsi="楷体_GB2312" w:eastAsia="楷体_GB2312" w:cs="楷体_GB2312"/>
          <w:b w:val="0"/>
          <w:i w:val="0"/>
          <w:color w:val="auto"/>
        </w:rPr>
      </w:pPr>
      <w:r>
        <w:rPr>
          <w:rStyle w:val="19"/>
        </w:rPr>
        <w:t>服务地点</w:t>
      </w:r>
      <w:r>
        <w:rPr>
          <w:i w:val="0"/>
          <w:color w:val="555555"/>
        </w:rPr>
        <w:t>：</w:t>
      </w:r>
      <w:r>
        <w:rPr>
          <w:rFonts w:ascii="仿宋_GB2312" w:hAnsi="仿宋_GB2312" w:eastAsia="仿宋_GB2312" w:cs="Times New Roman"/>
        </w:rPr>
        <w:t>中山市第二人民医院及南区分院</w:t>
      </w:r>
    </w:p>
    <w:p w14:paraId="42A0FDB6">
      <w:pPr>
        <w:pStyle w:val="11"/>
        <w:numPr>
          <w:ilvl w:val="0"/>
          <w:numId w:val="2"/>
        </w:numPr>
        <w:topLinePunct w:val="0"/>
        <w:ind w:left="0" w:leftChars="0" w:firstLine="616" w:firstLineChars="0"/>
        <w:rPr>
          <w:rFonts w:hint="eastAsia" w:ascii="楷体_GB2312" w:hAnsi="楷体_GB2312" w:eastAsia="楷体_GB2312" w:cs="楷体_GB2312"/>
          <w:b w:val="0"/>
          <w:i w:val="0"/>
          <w:color w:val="auto"/>
        </w:rPr>
      </w:pPr>
      <w:r>
        <w:rPr>
          <w:rStyle w:val="19"/>
        </w:rPr>
        <w:t>服务期限</w:t>
      </w:r>
      <w:r>
        <w:rPr>
          <w:i w:val="0"/>
          <w:color w:val="555555"/>
        </w:rPr>
        <w:t>：</w:t>
      </w:r>
      <w:r>
        <w:rPr>
          <w:rFonts w:ascii="仿宋_GB2312" w:hAnsi="仿宋_GB2312" w:eastAsia="仿宋_GB2312" w:cs="Times New Roman"/>
        </w:rPr>
        <w:t>202</w:t>
      </w:r>
      <w:r>
        <w:rPr>
          <w:rFonts w:hint="eastAsia" w:cs="Times New Roman"/>
          <w:lang w:val="en-US" w:eastAsia="zh-CN"/>
        </w:rPr>
        <w:t>7</w:t>
      </w:r>
      <w:r>
        <w:rPr>
          <w:rFonts w:ascii="仿宋_GB2312" w:hAnsi="仿宋_GB2312" w:eastAsia="仿宋_GB2312" w:cs="Times New Roman"/>
        </w:rPr>
        <w:t>年</w:t>
      </w:r>
      <w:r>
        <w:rPr>
          <w:rFonts w:hint="eastAsia" w:cs="Times New Roman"/>
          <w:lang w:val="en-US" w:eastAsia="zh-CN"/>
        </w:rPr>
        <w:t>1</w:t>
      </w:r>
      <w:r>
        <w:rPr>
          <w:rFonts w:ascii="仿宋_GB2312" w:hAnsi="仿宋_GB2312" w:eastAsia="仿宋_GB2312" w:cs="Times New Roman"/>
        </w:rPr>
        <w:t>月1日至202</w:t>
      </w:r>
      <w:r>
        <w:rPr>
          <w:rFonts w:hint="eastAsia" w:cs="Times New Roman"/>
          <w:lang w:val="en-US" w:eastAsia="zh-CN"/>
        </w:rPr>
        <w:t>8</w:t>
      </w:r>
      <w:r>
        <w:rPr>
          <w:rFonts w:ascii="仿宋_GB2312" w:hAnsi="仿宋_GB2312" w:eastAsia="仿宋_GB2312" w:cs="Times New Roman"/>
        </w:rPr>
        <w:t>年12月31日</w:t>
      </w:r>
    </w:p>
    <w:p w14:paraId="4BB880B5">
      <w:pPr>
        <w:pStyle w:val="11"/>
        <w:widowControl/>
        <w:rPr>
          <w:i w:val="0"/>
          <w:color w:val="555555"/>
        </w:rPr>
      </w:pPr>
      <w:r>
        <w:rPr>
          <w:rStyle w:val="19"/>
          <w:rFonts w:hint="eastAsia" w:eastAsia="楷体_GB2312"/>
          <w:lang w:eastAsia="zh-CN"/>
        </w:rPr>
        <w:t>（</w:t>
      </w:r>
      <w:r>
        <w:rPr>
          <w:rStyle w:val="19"/>
          <w:rFonts w:hint="eastAsia" w:eastAsia="楷体_GB2312"/>
          <w:lang w:val="en-US" w:eastAsia="zh-CN"/>
        </w:rPr>
        <w:t>四</w:t>
      </w:r>
      <w:r>
        <w:rPr>
          <w:rStyle w:val="19"/>
          <w:rFonts w:hint="eastAsia" w:eastAsia="楷体_GB2312"/>
          <w:lang w:eastAsia="zh-CN"/>
        </w:rPr>
        <w:t>）</w:t>
      </w:r>
      <w:r>
        <w:rPr>
          <w:rStyle w:val="19"/>
        </w:rPr>
        <w:t>用电量参考</w:t>
      </w:r>
      <w:r>
        <w:rPr>
          <w:i w:val="0"/>
          <w:color w:val="555555"/>
        </w:rPr>
        <w:t>：</w:t>
      </w:r>
    </w:p>
    <w:p w14:paraId="2D38C981">
      <w:pPr>
        <w:pStyle w:val="11"/>
        <w:widowControl/>
      </w:pPr>
      <w:r>
        <w:rPr>
          <w:rFonts w:hint="eastAsia"/>
          <w:lang w:val="en-US" w:eastAsia="zh-CN"/>
        </w:rPr>
        <w:t>2</w:t>
      </w:r>
      <w:r>
        <w:t>02</w:t>
      </w:r>
      <w:r>
        <w:rPr>
          <w:rFonts w:hint="eastAsia"/>
          <w:lang w:val="en-US" w:eastAsia="zh-CN"/>
        </w:rPr>
        <w:t>5</w:t>
      </w:r>
      <w:r>
        <w:t>年</w:t>
      </w:r>
      <w:r>
        <w:rPr>
          <w:rFonts w:hint="eastAsia"/>
          <w:lang w:val="en-US" w:eastAsia="zh-CN"/>
        </w:rPr>
        <w:t>1</w:t>
      </w:r>
      <w:r>
        <w:t>月1日至202</w:t>
      </w:r>
      <w:r>
        <w:rPr>
          <w:rFonts w:hint="eastAsia"/>
          <w:lang w:val="en-US" w:eastAsia="zh-CN"/>
        </w:rPr>
        <w:t>5</w:t>
      </w:r>
      <w:r>
        <w:t>年</w:t>
      </w:r>
      <w:r>
        <w:rPr>
          <w:rFonts w:hint="eastAsia"/>
          <w:lang w:val="en-US" w:eastAsia="zh-CN"/>
        </w:rPr>
        <w:t>12</w:t>
      </w:r>
      <w:r>
        <w:t>月</w:t>
      </w:r>
      <w:r>
        <w:rPr>
          <w:rFonts w:hint="eastAsia"/>
          <w:lang w:val="en-US" w:eastAsia="zh-CN"/>
        </w:rPr>
        <w:t>31</w:t>
      </w:r>
      <w:r>
        <w:t>日用电量合计：</w:t>
      </w:r>
      <w:r>
        <w:rPr>
          <w:rFonts w:hint="eastAsia"/>
          <w:lang w:val="en-US" w:eastAsia="zh-CN"/>
        </w:rPr>
        <w:t>5643345</w:t>
      </w:r>
      <w:r>
        <w:t>千瓦时。</w:t>
      </w:r>
    </w:p>
    <w:p w14:paraId="53F326E0">
      <w:pPr>
        <w:pStyle w:val="11"/>
        <w:widowControl/>
        <w:rPr>
          <w:rFonts w:hint="eastAsia"/>
        </w:rPr>
      </w:pPr>
      <w:r>
        <w:rPr>
          <w:rFonts w:hint="eastAsia"/>
          <w:lang w:val="en-US" w:eastAsia="zh-CN"/>
        </w:rPr>
        <w:t>2026年1月1日至2026年8月31日用电量合计4078450千瓦时。预计2026年全年用电610万千瓦时。</w:t>
      </w:r>
    </w:p>
    <w:p w14:paraId="58732F89">
      <w:pPr>
        <w:pStyle w:val="2"/>
        <w:numPr>
          <w:ilvl w:val="0"/>
          <w:numId w:val="1"/>
        </w:numPr>
        <w:topLinePunct w:val="0"/>
        <w:ind w:left="0" w:leftChars="0" w:firstLine="640" w:firstLineChars="0"/>
        <w:rPr>
          <w:rFonts w:hint="eastAsia" w:cs="Times New Roman"/>
          <w:lang w:val="en-US" w:eastAsia="zh-CN"/>
        </w:rPr>
      </w:pPr>
      <w:r>
        <w:rPr>
          <w:rFonts w:hint="eastAsia" w:cs="Times New Roman"/>
          <w:lang w:val="en-US" w:eastAsia="zh-CN"/>
        </w:rPr>
        <w:t>项目概述</w:t>
      </w:r>
    </w:p>
    <w:p w14:paraId="42FB69F1">
      <w:pPr>
        <w:pStyle w:val="11"/>
        <w:keepNext w:val="0"/>
        <w:keepLines w:val="0"/>
        <w:pageBreakBefore w:val="0"/>
        <w:widowControl/>
        <w:numPr>
          <w:ilvl w:val="0"/>
          <w:numId w:val="0"/>
        </w:numPr>
        <w:kinsoku/>
        <w:wordWrap/>
        <w:overflowPunct/>
        <w:topLinePunct w:val="0"/>
        <w:autoSpaceDE/>
        <w:autoSpaceDN/>
        <w:bidi w:val="0"/>
        <w:adjustRightInd/>
        <w:snapToGrid/>
        <w:ind w:leftChars="0" w:firstLine="616" w:firstLineChars="200"/>
        <w:textAlignment w:val="auto"/>
        <w:rPr>
          <w:rFonts w:hint="default" w:ascii="仿宋_GB2312" w:hAnsi="仿宋_GB2312" w:eastAsia="仿宋_GB2312" w:cs="Times New Roman"/>
          <w:lang w:val="en-US" w:eastAsia="zh-CN"/>
        </w:rPr>
      </w:pPr>
      <w:r>
        <w:rPr>
          <w:rFonts w:hint="eastAsia" w:ascii="仿宋_GB2312" w:hAnsi="仿宋_GB2312" w:eastAsia="仿宋_GB2312" w:cs="Times New Roman"/>
          <w:lang w:val="en-US" w:eastAsia="zh-CN"/>
        </w:rPr>
        <w:t>根据医院发展部署，综合考虑节约能源，节约成本，根据广东省能源局</w:t>
      </w:r>
      <w:r>
        <w:rPr>
          <w:rFonts w:hint="default" w:ascii="仿宋_GB2312" w:hAnsi="仿宋_GB2312" w:eastAsia="仿宋_GB2312" w:cs="Times New Roman"/>
          <w:lang w:val="en-US" w:eastAsia="zh-CN"/>
        </w:rPr>
        <w:t>《关于印发</w:t>
      </w:r>
      <w:r>
        <w:rPr>
          <w:rFonts w:hint="eastAsia" w:ascii="仿宋_GB2312" w:hAnsi="仿宋_GB2312" w:eastAsia="仿宋_GB2312" w:cs="Times New Roman"/>
          <w:lang w:val="en-US" w:eastAsia="zh-CN"/>
        </w:rPr>
        <w:t>〈</w:t>
      </w:r>
      <w:r>
        <w:rPr>
          <w:rFonts w:hint="default" w:ascii="仿宋_GB2312" w:hAnsi="仿宋_GB2312" w:eastAsia="仿宋_GB2312" w:cs="Times New Roman"/>
          <w:lang w:val="en-US" w:eastAsia="zh-CN"/>
        </w:rPr>
        <w:t>广东电力零售市场管理办法</w:t>
      </w:r>
      <w:r>
        <w:rPr>
          <w:rFonts w:hint="eastAsia" w:ascii="仿宋_GB2312" w:hAnsi="仿宋_GB2312" w:eastAsia="仿宋_GB2312" w:cs="Times New Roman"/>
          <w:lang w:val="en-US" w:eastAsia="zh-CN"/>
        </w:rPr>
        <w:t>〉的通知》</w:t>
      </w:r>
      <w:r>
        <w:rPr>
          <w:rFonts w:hint="default" w:ascii="仿宋_GB2312" w:hAnsi="仿宋_GB2312" w:eastAsia="仿宋_GB2312" w:cs="Times New Roman"/>
          <w:lang w:val="en-US" w:eastAsia="zh-CN"/>
        </w:rPr>
        <w:t>（粤能规</w:t>
      </w:r>
      <w:r>
        <w:rPr>
          <w:rFonts w:hint="eastAsia" w:ascii="仿宋_GB2312" w:hAnsi="仿宋_GB2312" w:eastAsia="仿宋_GB2312" w:cs="Times New Roman"/>
          <w:lang w:val="en-US" w:eastAsia="zh-CN"/>
        </w:rPr>
        <w:t>〔2023〕2号</w:t>
      </w:r>
      <w:r>
        <w:rPr>
          <w:rFonts w:hint="default" w:ascii="仿宋_GB2312" w:hAnsi="仿宋_GB2312" w:eastAsia="仿宋_GB2312" w:cs="Times New Roman"/>
          <w:lang w:val="en-US" w:eastAsia="zh-CN"/>
        </w:rPr>
        <w:t>）</w:t>
      </w:r>
      <w:r>
        <w:rPr>
          <w:rFonts w:hint="eastAsia" w:ascii="仿宋_GB2312" w:hAnsi="仿宋_GB2312" w:eastAsia="仿宋_GB2312" w:cs="Times New Roman"/>
          <w:lang w:val="en-US" w:eastAsia="zh-CN"/>
        </w:rPr>
        <w:t>文件精神，医院</w:t>
      </w:r>
      <w:r>
        <w:rPr>
          <w:rFonts w:hint="eastAsia" w:cs="Times New Roman"/>
          <w:lang w:val="en-US" w:eastAsia="zh-CN"/>
        </w:rPr>
        <w:t>拟采购</w:t>
      </w:r>
      <w:r>
        <w:rPr>
          <w:rFonts w:hint="eastAsia"/>
          <w:lang w:val="en-US" w:eastAsia="zh-CN"/>
        </w:rPr>
        <w:t>电力市场化服务</w:t>
      </w:r>
      <w:r>
        <w:rPr>
          <w:rFonts w:hint="eastAsia" w:ascii="仿宋_GB2312" w:hAnsi="仿宋_GB2312" w:eastAsia="仿宋_GB2312" w:cs="Times New Roman"/>
          <w:lang w:val="en-US" w:eastAsia="zh-CN"/>
        </w:rPr>
        <w:t>。</w:t>
      </w:r>
    </w:p>
    <w:p w14:paraId="49C27E2D">
      <w:pPr>
        <w:pStyle w:val="2"/>
        <w:numPr>
          <w:ilvl w:val="0"/>
          <w:numId w:val="1"/>
        </w:numPr>
        <w:topLinePunct w:val="0"/>
        <w:ind w:left="0" w:leftChars="0" w:firstLine="640" w:firstLineChars="0"/>
        <w:rPr>
          <w:rFonts w:hint="eastAsia" w:cs="Times New Roman"/>
          <w:lang w:val="en-US" w:eastAsia="zh-CN"/>
        </w:rPr>
      </w:pPr>
      <w:r>
        <w:rPr>
          <w:rFonts w:hint="eastAsia" w:cs="Times New Roman"/>
          <w:lang w:val="en-US" w:eastAsia="zh-CN"/>
        </w:rPr>
        <w:t>服务商资质</w:t>
      </w:r>
    </w:p>
    <w:p w14:paraId="4AA025F5">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（一）具有独立承担民事责任的能力，营业执照的经营范围需包括供电、输电、售电业务之一；</w:t>
      </w:r>
    </w:p>
    <w:p w14:paraId="64AAD408">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（二）响应服务商必须是纳入广东省电力交易中心售电目录企业名单内；</w:t>
      </w:r>
    </w:p>
    <w:p w14:paraId="204B4019">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default" w:ascii="仿宋_GB2312" w:hAnsi="仿宋_GB2312" w:eastAsia="仿宋_GB2312" w:cs="Times New Roman"/>
          <w:lang w:val="en-US" w:eastAsia="zh-CN"/>
        </w:rPr>
      </w:pPr>
      <w:r>
        <w:rPr>
          <w:rFonts w:hint="eastAsia" w:ascii="仿宋_GB2312" w:hAnsi="仿宋_GB2312" w:eastAsia="仿宋_GB2312" w:cs="Times New Roman"/>
          <w:lang w:val="en-US" w:eastAsia="zh-CN"/>
        </w:rPr>
        <w:t>（三）响应服务商</w:t>
      </w:r>
      <w:r>
        <w:rPr>
          <w:rFonts w:hint="eastAsia" w:cs="Times New Roman"/>
          <w:lang w:val="en-US" w:eastAsia="zh-CN"/>
        </w:rPr>
        <w:t>没有</w:t>
      </w:r>
      <w:r>
        <w:rPr>
          <w:rFonts w:hint="eastAsia" w:ascii="仿宋_GB2312" w:hAnsi="仿宋_GB2312" w:eastAsia="仿宋_GB2312" w:cs="Times New Roman"/>
          <w:lang w:val="en-US" w:eastAsia="zh-CN"/>
        </w:rPr>
        <w:t>在广东电力交易中心披露202</w:t>
      </w:r>
      <w:r>
        <w:rPr>
          <w:rFonts w:hint="eastAsia" w:cs="Times New Roman"/>
          <w:lang w:val="en-US" w:eastAsia="zh-CN"/>
        </w:rPr>
        <w:t>3</w:t>
      </w:r>
      <w:r>
        <w:rPr>
          <w:rFonts w:hint="eastAsia" w:ascii="仿宋_GB2312" w:hAnsi="仿宋_GB2312" w:eastAsia="仿宋_GB2312" w:cs="Times New Roman"/>
          <w:lang w:val="en-US" w:eastAsia="zh-CN"/>
        </w:rPr>
        <w:t>—202</w:t>
      </w:r>
      <w:r>
        <w:rPr>
          <w:rFonts w:hint="eastAsia" w:cs="Times New Roman"/>
          <w:lang w:val="en-US" w:eastAsia="zh-CN"/>
        </w:rPr>
        <w:t>5</w:t>
      </w:r>
      <w:r>
        <w:rPr>
          <w:rFonts w:hint="eastAsia" w:ascii="仿宋_GB2312" w:hAnsi="仿宋_GB2312" w:eastAsia="仿宋_GB2312" w:cs="Times New Roman"/>
          <w:lang w:val="en-US" w:eastAsia="zh-CN"/>
        </w:rPr>
        <w:t>年被投诉情况（提供承诺函）；</w:t>
      </w:r>
    </w:p>
    <w:p w14:paraId="22854BA0">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（四）响应服务商在广东电力交易中心发布的202</w:t>
      </w:r>
      <w:r>
        <w:rPr>
          <w:rFonts w:hint="eastAsia" w:cs="Times New Roman"/>
          <w:lang w:val="en-US" w:eastAsia="zh-CN"/>
        </w:rPr>
        <w:t>5</w:t>
      </w:r>
      <w:r>
        <w:rPr>
          <w:rFonts w:hint="eastAsia" w:ascii="仿宋_GB2312" w:hAnsi="仿宋_GB2312" w:eastAsia="仿宋_GB2312" w:cs="Times New Roman"/>
          <w:lang w:val="en-US" w:eastAsia="zh-CN"/>
        </w:rPr>
        <w:t>年广东电力市场信用评价结果的评价等级AA</w:t>
      </w:r>
      <w:r>
        <w:rPr>
          <w:rFonts w:hint="eastAsia" w:cs="Times New Roman"/>
          <w:lang w:val="en-US" w:eastAsia="zh-CN"/>
        </w:rPr>
        <w:t>A</w:t>
      </w:r>
      <w:r>
        <w:rPr>
          <w:rFonts w:hint="eastAsia" w:ascii="仿宋_GB2312" w:hAnsi="仿宋_GB2312" w:eastAsia="仿宋_GB2312" w:cs="Times New Roman"/>
          <w:lang w:val="en-US" w:eastAsia="zh-CN"/>
        </w:rPr>
        <w:t>及以上；</w:t>
      </w:r>
    </w:p>
    <w:p w14:paraId="5FCFFD82">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eastAsia" w:ascii="仿宋_GB2312" w:hAnsi="仿宋_GB2312" w:eastAsia="仿宋_GB2312" w:cs="Times New Roman"/>
          <w:lang w:val="en-US" w:eastAsia="zh-CN"/>
        </w:rPr>
      </w:pPr>
      <w:r>
        <w:rPr>
          <w:rFonts w:hint="eastAsia" w:ascii="仿宋_GB2312" w:hAnsi="仿宋_GB2312" w:eastAsia="仿宋_GB2312" w:cs="Times New Roman"/>
          <w:lang w:val="en-US" w:eastAsia="zh-CN"/>
        </w:rPr>
        <w:t>（五）响应服务商须提供根据广东电力市场履约风险管理实施细则设立的售电公司电力交易履约担保凭证，履约保函金额在500万元以上；</w:t>
      </w:r>
    </w:p>
    <w:p w14:paraId="792D14BB">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default" w:ascii="仿宋_GB2312" w:hAnsi="仿宋_GB2312" w:eastAsia="仿宋_GB2312" w:cs="Times New Roman"/>
          <w:lang w:val="en-US" w:eastAsia="zh-CN"/>
        </w:rPr>
      </w:pPr>
      <w:r>
        <w:rPr>
          <w:rFonts w:hint="eastAsia" w:ascii="仿宋_GB2312" w:hAnsi="仿宋_GB2312" w:eastAsia="仿宋_GB2312" w:cs="Times New Roman"/>
          <w:lang w:val="en-US" w:eastAsia="zh-CN"/>
        </w:rPr>
        <w:t>（六）</w:t>
      </w:r>
      <w:r>
        <w:rPr>
          <w:rFonts w:hint="default" w:ascii="仿宋_GB2312" w:hAnsi="仿宋_GB2312" w:eastAsia="仿宋_GB2312" w:cs="Times New Roman"/>
          <w:lang w:val="en-US" w:eastAsia="zh-CN"/>
        </w:rPr>
        <w:t>本项目不接受联合体报名，不允许分包、转包。</w:t>
      </w:r>
    </w:p>
    <w:p w14:paraId="35BB8C61">
      <w:pPr>
        <w:pStyle w:val="2"/>
        <w:numPr>
          <w:ilvl w:val="0"/>
          <w:numId w:val="1"/>
        </w:numPr>
        <w:topLinePunct w:val="0"/>
        <w:ind w:left="0" w:leftChars="0" w:firstLine="640" w:firstLineChars="0"/>
        <w:rPr>
          <w:rFonts w:hint="default"/>
          <w:lang w:val="en-US" w:eastAsia="zh-CN"/>
        </w:rPr>
      </w:pPr>
      <w:r>
        <w:rPr>
          <w:rFonts w:hint="default"/>
          <w:lang w:val="en-US" w:eastAsia="zh-CN"/>
        </w:rPr>
        <w:t>报价要求</w:t>
      </w:r>
    </w:p>
    <w:p w14:paraId="70829093">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default" w:ascii="仿宋_GB2312" w:hAnsi="仿宋_GB2312" w:eastAsia="仿宋_GB2312" w:cs="Times New Roman"/>
          <w:lang w:val="en-US" w:eastAsia="zh-CN"/>
        </w:rPr>
      </w:pPr>
      <w:r>
        <w:rPr>
          <w:rFonts w:hint="default" w:ascii="仿宋_GB2312" w:hAnsi="仿宋_GB2312" w:eastAsia="仿宋_GB2312" w:cs="Times New Roman"/>
          <w:lang w:val="en-US" w:eastAsia="en-US"/>
        </w:rPr>
        <w:t>1.</w:t>
      </w:r>
      <w:r>
        <w:rPr>
          <w:rFonts w:hint="eastAsia" w:ascii="仿宋_GB2312" w:hAnsi="仿宋_GB2312" w:eastAsia="仿宋_GB2312" w:cs="Times New Roman"/>
          <w:lang w:val="en-US" w:eastAsia="zh-CN"/>
        </w:rPr>
        <w:t>本项目以90%固定电价部分+10%市场联动部分（市场联动部分以广东电力交易中心月度综合价进行交易）的模式开展，额外的费用业主方不进行支付。</w:t>
      </w:r>
    </w:p>
    <w:p w14:paraId="3B3987F3">
      <w:pPr>
        <w:pStyle w:val="11"/>
        <w:keepNext w:val="0"/>
        <w:keepLines w:val="0"/>
        <w:pageBreakBefore w:val="0"/>
        <w:widowControl/>
        <w:numPr>
          <w:ilvl w:val="0"/>
          <w:numId w:val="0"/>
        </w:numPr>
        <w:kinsoku/>
        <w:wordWrap/>
        <w:overflowPunct/>
        <w:topLinePunct w:val="0"/>
        <w:autoSpaceDE/>
        <w:autoSpaceDN/>
        <w:bidi w:val="0"/>
        <w:adjustRightInd/>
        <w:snapToGrid/>
        <w:ind w:left="0" w:leftChars="0" w:firstLine="616" w:firstLineChars="200"/>
        <w:textAlignment w:val="auto"/>
        <w:rPr>
          <w:rFonts w:hint="default" w:ascii="仿宋_GB2312" w:hAnsi="仿宋_GB2312" w:eastAsia="仿宋_GB2312" w:cs="Times New Roman"/>
          <w:lang w:val="en-US" w:eastAsia="zh-CN"/>
        </w:rPr>
      </w:pPr>
      <w:r>
        <w:rPr>
          <w:rFonts w:hint="default" w:ascii="仿宋_GB2312" w:hAnsi="仿宋_GB2312" w:eastAsia="仿宋_GB2312" w:cs="Times New Roman"/>
          <w:lang w:val="en-US" w:eastAsia="zh-CN"/>
        </w:rPr>
        <w:t>2.供应商须对固定价格部分进行报价。固定价格部分须符合广东省能源局及国家能源局南方监管局关于</w:t>
      </w:r>
      <w:r>
        <w:rPr>
          <w:rFonts w:hint="eastAsia" w:ascii="仿宋_GB2312" w:hAnsi="仿宋_GB2312" w:eastAsia="仿宋_GB2312" w:cs="Times New Roman"/>
          <w:lang w:val="en-US" w:eastAsia="zh-CN"/>
        </w:rPr>
        <w:t>202</w:t>
      </w:r>
      <w:r>
        <w:rPr>
          <w:rFonts w:hint="eastAsia" w:cs="Times New Roman"/>
          <w:lang w:val="en-US" w:eastAsia="zh-CN"/>
        </w:rPr>
        <w:t>7</w:t>
      </w:r>
      <w:r>
        <w:rPr>
          <w:rFonts w:hint="eastAsia" w:ascii="仿宋_GB2312" w:hAnsi="仿宋_GB2312" w:eastAsia="仿宋_GB2312" w:cs="Times New Roman"/>
          <w:lang w:val="en-US" w:eastAsia="zh-CN"/>
        </w:rPr>
        <w:t>、</w:t>
      </w:r>
      <w:r>
        <w:rPr>
          <w:rFonts w:hint="default" w:ascii="仿宋_GB2312" w:hAnsi="仿宋_GB2312" w:eastAsia="仿宋_GB2312" w:cs="Times New Roman"/>
          <w:lang w:val="en-US" w:eastAsia="zh-CN"/>
        </w:rPr>
        <w:t>202</w:t>
      </w:r>
      <w:r>
        <w:rPr>
          <w:rFonts w:hint="eastAsia" w:cs="Times New Roman"/>
          <w:lang w:val="en-US" w:eastAsia="zh-CN"/>
        </w:rPr>
        <w:t>8</w:t>
      </w:r>
      <w:r>
        <w:rPr>
          <w:rFonts w:hint="default" w:ascii="仿宋_GB2312" w:hAnsi="仿宋_GB2312" w:eastAsia="仿宋_GB2312" w:cs="Times New Roman"/>
          <w:lang w:val="en-US" w:eastAsia="zh-CN"/>
        </w:rPr>
        <w:t>年电力市场交易有关事项的通知等文件规定的交易价格上下限标准。固定价格部分报价要求为年度最低价（即年度交易成交均价下限），报价须保留小数点后四位。</w:t>
      </w:r>
    </w:p>
    <w:p w14:paraId="52490D07">
      <w:pPr>
        <w:pStyle w:val="11"/>
        <w:rPr>
          <w:rFonts w:hint="default"/>
          <w:lang w:val="en-US" w:eastAsia="zh-CN"/>
        </w:rPr>
      </w:pPr>
      <w:r>
        <w:rPr>
          <w:rFonts w:hint="eastAsia" w:cs="Times New Roman"/>
          <w:lang w:val="en-US" w:eastAsia="zh-CN"/>
        </w:rPr>
        <w:t>3.</w:t>
      </w:r>
      <w:r>
        <w:rPr>
          <w:rFonts w:hint="eastAsia"/>
          <w:spacing wpsCustomData:val="-6" w:val="0"/>
          <w:lang w:val="en-US" w:eastAsia="zh-CN"/>
        </w:rPr>
        <w:t>售电公司不收取代理服务费，偏差考核费用由售电公</w:t>
      </w:r>
      <w:r>
        <w:rPr>
          <w:rFonts w:hint="eastAsia"/>
          <w:spacing wpsCustomData:val="-6" w:val="-6"/>
          <w:lang w:val="en-US" w:eastAsia="zh-CN"/>
        </w:rPr>
        <w:t>司</w:t>
      </w:r>
      <w:r>
        <w:rPr>
          <w:rFonts w:hint="eastAsia"/>
          <w:lang w:val="en-US" w:eastAsia="zh-CN"/>
        </w:rPr>
        <w:t>承担。本项目费用包含电费、服务费、税费、人员费用、社保等一切费用，额外费用院方不再支付。</w:t>
      </w:r>
    </w:p>
    <w:p w14:paraId="0BDA3243">
      <w:pPr>
        <w:pStyle w:val="2"/>
        <w:numPr>
          <w:ilvl w:val="0"/>
          <w:numId w:val="1"/>
        </w:numPr>
        <w:topLinePunct w:val="0"/>
        <w:ind w:left="0" w:leftChars="0" w:firstLine="640" w:firstLineChars="0"/>
        <w:rPr>
          <w:b w:val="0"/>
        </w:rPr>
      </w:pPr>
      <w:r>
        <w:t>项目服务要求</w:t>
      </w:r>
    </w:p>
    <w:p w14:paraId="2C21087C">
      <w:pPr>
        <w:pStyle w:val="11"/>
        <w:numPr>
          <w:ilvl w:val="0"/>
          <w:numId w:val="3"/>
        </w:numPr>
        <w:topLinePunct w:val="0"/>
        <w:ind w:left="0" w:leftChars="0" w:firstLine="616" w:firstLineChars="0"/>
        <w:rPr>
          <w:b w:val="0"/>
        </w:rPr>
      </w:pPr>
      <w:r>
        <w:rPr>
          <w:rFonts w:hint="default" w:ascii="仿宋_GB2312" w:hAnsi="仿宋_GB2312" w:eastAsia="仿宋_GB2312" w:cs="Times New Roman"/>
        </w:rPr>
        <w:t>保障用电供应工作：服务单位需保障医院用电额度，服务期内不得以用电额度不足为由停止给医院供电或者要求医院重回广东南网代购电，如发生上述情况，因此造成的包括但不限于其他途径购电支出、额外费用、相关损失等一切费用和后果均由服务单位承担</w:t>
      </w:r>
      <w:r>
        <w:rPr>
          <w:rFonts w:hint="default" w:ascii="Arial" w:hAnsi="Arial" w:eastAsia="Arial" w:cs="Arial"/>
          <w:i w:val="0"/>
          <w:iCs w:val="0"/>
          <w:caps w:val="0"/>
          <w:color w:val="555555"/>
          <w:spacing w:val="0"/>
          <w:sz w:val="24"/>
          <w:szCs w:val="24"/>
        </w:rPr>
        <w:t>。</w:t>
      </w:r>
    </w:p>
    <w:p w14:paraId="08389099">
      <w:pPr>
        <w:pStyle w:val="11"/>
        <w:numPr>
          <w:ilvl w:val="0"/>
          <w:numId w:val="3"/>
        </w:numPr>
        <w:topLinePunct w:val="0"/>
        <w:ind w:left="0" w:leftChars="0" w:firstLine="616" w:firstLineChars="0"/>
        <w:rPr>
          <w:rFonts w:hint="default"/>
        </w:rPr>
      </w:pPr>
      <w:r>
        <w:t>具有广东省经济和信息化委员会核准的具有售电资质的售电公司</w:t>
      </w:r>
      <w:r>
        <w:rPr>
          <w:rFonts w:hint="eastAsia"/>
          <w:lang w:eastAsia="zh-CN"/>
        </w:rPr>
        <w:t>（</w:t>
      </w:r>
      <w:r>
        <w:t>须提供证明</w:t>
      </w:r>
      <w:r>
        <w:rPr>
          <w:rFonts w:hint="eastAsia"/>
          <w:lang w:eastAsia="zh-CN"/>
        </w:rPr>
        <w:t>）</w:t>
      </w:r>
      <w:r>
        <w:t>。</w:t>
      </w:r>
    </w:p>
    <w:p w14:paraId="51F64301">
      <w:pPr>
        <w:pStyle w:val="11"/>
        <w:numPr>
          <w:ilvl w:val="0"/>
          <w:numId w:val="3"/>
        </w:numPr>
        <w:topLinePunct w:val="0"/>
        <w:ind w:left="0" w:leftChars="0" w:firstLine="616" w:firstLineChars="0"/>
        <w:rPr>
          <w:rFonts w:ascii="仿宋_GB2312" w:hAnsi="仿宋_GB2312" w:eastAsia="仿宋_GB2312" w:cs="Times New Roman"/>
        </w:rPr>
      </w:pPr>
      <w:r>
        <w:t>业绩</w:t>
      </w:r>
      <w:r>
        <w:rPr>
          <w:rFonts w:ascii="仿宋_GB2312" w:hAnsi="仿宋_GB2312" w:eastAsia="仿宋_GB2312" w:cs="Times New Roman"/>
        </w:rPr>
        <w:t>要求：</w:t>
      </w:r>
      <w:r>
        <w:rPr>
          <w:rFonts w:hint="default" w:ascii="仿宋_GB2312" w:hAnsi="仿宋_GB2312" w:eastAsia="仿宋_GB2312" w:cs="Times New Roman"/>
        </w:rPr>
        <w:t>202</w:t>
      </w:r>
      <w:r>
        <w:rPr>
          <w:rFonts w:hint="eastAsia" w:cs="Times New Roman"/>
          <w:lang w:val="en-US" w:eastAsia="zh-CN"/>
        </w:rPr>
        <w:t>3</w:t>
      </w:r>
      <w:r>
        <w:rPr>
          <w:rFonts w:hint="default" w:ascii="仿宋_GB2312" w:hAnsi="仿宋_GB2312" w:eastAsia="仿宋_GB2312" w:cs="Times New Roman"/>
        </w:rPr>
        <w:t>年至202</w:t>
      </w:r>
      <w:r>
        <w:rPr>
          <w:rFonts w:hint="eastAsia" w:cs="Times New Roman"/>
          <w:lang w:val="en-US" w:eastAsia="zh-CN"/>
        </w:rPr>
        <w:t>5</w:t>
      </w:r>
      <w:r>
        <w:rPr>
          <w:rFonts w:hint="default" w:ascii="仿宋_GB2312" w:hAnsi="仿宋_GB2312" w:eastAsia="仿宋_GB2312" w:cs="Times New Roman"/>
        </w:rPr>
        <w:t>年三年间同类业绩的合同扫描件</w:t>
      </w:r>
      <w:r>
        <w:rPr>
          <w:rFonts w:hint="eastAsia" w:ascii="仿宋_GB2312" w:hAnsi="仿宋_GB2312" w:eastAsia="仿宋_GB2312" w:cs="Times New Roman"/>
          <w:lang w:eastAsia="zh-CN"/>
        </w:rPr>
        <w:t>。</w:t>
      </w:r>
    </w:p>
    <w:p w14:paraId="21F0554A">
      <w:pPr>
        <w:pStyle w:val="11"/>
        <w:numPr>
          <w:ilvl w:val="0"/>
          <w:numId w:val="3"/>
        </w:numPr>
        <w:topLinePunct w:val="0"/>
        <w:ind w:left="0" w:leftChars="0" w:firstLine="616" w:firstLineChars="0"/>
        <w:rPr>
          <w:rFonts w:ascii="仿宋_GB2312" w:hAnsi="仿宋_GB2312" w:eastAsia="仿宋_GB2312" w:cs="Times New Roman"/>
        </w:rPr>
      </w:pPr>
      <w:r>
        <w:rPr>
          <w:rFonts w:hint="default" w:ascii="仿宋_GB2312" w:hAnsi="仿宋_GB2312" w:eastAsia="仿宋_GB2312" w:cs="Times New Roman"/>
        </w:rPr>
        <w:t>不影响原有的供电方式、结算缴费方式等内容，每月具体的用量以南方电网的数据为准。</w:t>
      </w:r>
    </w:p>
    <w:p w14:paraId="102ADB75">
      <w:pPr>
        <w:pStyle w:val="11"/>
        <w:numPr>
          <w:ilvl w:val="0"/>
          <w:numId w:val="3"/>
        </w:numPr>
        <w:topLinePunct w:val="0"/>
        <w:ind w:left="0" w:leftChars="0" w:firstLine="616" w:firstLineChars="0"/>
        <w:rPr>
          <w:b w:val="0"/>
        </w:rPr>
      </w:pPr>
      <w:r>
        <w:t>提供近3年贵公司售电与供电单价的明细表，让我院了解参与售电交易具体单价明细。</w:t>
      </w:r>
    </w:p>
    <w:p w14:paraId="19471C1A">
      <w:pPr>
        <w:pStyle w:val="11"/>
        <w:numPr>
          <w:ilvl w:val="0"/>
          <w:numId w:val="3"/>
        </w:numPr>
        <w:topLinePunct w:val="0"/>
        <w:ind w:left="0" w:leftChars="0" w:firstLine="616" w:firstLineChars="0"/>
      </w:pPr>
      <w:r>
        <w:t>成交供应商须安排固定工作联系人，指定专人对口医院服务，提供全程的服务保障，包括但不限于合同签订、交易执行、电量结算等全过程。</w:t>
      </w:r>
    </w:p>
    <w:p w14:paraId="1C321852">
      <w:pPr>
        <w:pStyle w:val="11"/>
        <w:numPr>
          <w:ilvl w:val="0"/>
          <w:numId w:val="3"/>
        </w:numPr>
        <w:topLinePunct w:val="0"/>
        <w:ind w:left="0" w:leftChars="0" w:firstLine="616" w:firstLineChars="0"/>
        <w:rPr>
          <w:rFonts w:ascii="仿宋_GB2312" w:hAnsi="仿宋_GB2312" w:eastAsia="仿宋_GB2312" w:cs="Times New Roman"/>
        </w:rPr>
      </w:pPr>
      <w:r>
        <w:t>免费协助甲方做好售电市场的动向及购售电方面的优惠信息及办理广东电力零售市场交易管理系统手续。</w:t>
      </w:r>
    </w:p>
    <w:p w14:paraId="15741F6B">
      <w:pPr>
        <w:pStyle w:val="11"/>
        <w:numPr>
          <w:numId w:val="0"/>
        </w:numPr>
        <w:topLinePunct w:val="0"/>
        <w:ind w:left="616" w:leftChars="0"/>
        <w:rPr>
          <w:rFonts w:hint="eastAsia" w:ascii="Arial" w:hAnsi="Arial" w:eastAsia="宋体" w:cs="Arial"/>
          <w:i w:val="0"/>
          <w:iCs w:val="0"/>
          <w:caps w:val="0"/>
          <w:color w:val="555555"/>
          <w:spacing w:val="0"/>
          <w:sz w:val="24"/>
          <w:szCs w:val="24"/>
          <w:lang w:val="en-US" w:eastAsia="zh-CN"/>
        </w:rPr>
      </w:pPr>
      <w:bookmarkStart w:id="0" w:name="_GoBack"/>
      <w:bookmarkEnd w:id="0"/>
    </w:p>
    <w:p w14:paraId="4F826B21">
      <w:pPr>
        <w:pStyle w:val="11"/>
        <w:keepNext w:val="0"/>
        <w:keepLines w:val="0"/>
        <w:pageBreakBefore w:val="0"/>
        <w:widowControl/>
        <w:kinsoku/>
        <w:wordWrap/>
        <w:overflowPunct/>
        <w:topLinePunct w:val="0"/>
        <w:autoSpaceDE/>
        <w:autoSpaceDN/>
        <w:bidi w:val="0"/>
        <w:adjustRightInd w:val="0"/>
        <w:snapToGrid/>
        <w:ind w:left="0" w:leftChars="0" w:right="943" w:rightChars="0" w:firstLine="0" w:firstLineChars="0"/>
        <w:jc w:val="right"/>
        <w:textAlignment w:val="auto"/>
        <w:rPr>
          <w:rFonts w:hint="eastAsia"/>
          <w:sz w:val="32"/>
          <w:szCs w:val="32"/>
          <w:lang w:val="en-US" w:eastAsia="zh-CN"/>
        </w:rPr>
      </w:pPr>
      <mc:AlternateContent>
        <mc:Choice Requires="wpsCustomData">
          <wpsCustomData:docfieldStart id="0" docfieldname="发文机关署名_1" hidden="0" print="1" readonly="0" index="45"/>
        </mc:Choice>
      </mc:AlternateContent>
      <w:r>
        <w:rPr>
          <w:rFonts w:hint="eastAsia"/>
          <w:sz w:val="32"/>
          <w:szCs w:val="32"/>
          <w:lang w:val="en-US" w:eastAsia="zh-CN"/>
        </w:rPr>
        <w:t>中山市第二人民医院</w:t>
      </w:r>
      <mc:AlternateContent>
        <mc:Choice Requires="wpsCustomData">
          <wpsCustomData:docfieldEnd id="0"/>
        </mc:Choice>
      </mc:AlternateContent>
    </w:p>
    <w:p w14:paraId="7D55D086">
      <w:pPr>
        <w:pStyle w:val="11"/>
        <w:keepNext w:val="0"/>
        <w:keepLines w:val="0"/>
        <w:pageBreakBefore w:val="0"/>
        <w:widowControl/>
        <w:kinsoku/>
        <w:wordWrap/>
        <w:overflowPunct/>
        <w:topLinePunct w:val="0"/>
        <w:autoSpaceDE/>
        <w:autoSpaceDN/>
        <w:bidi w:val="0"/>
        <w:adjustRightInd w:val="0"/>
        <w:snapToGrid/>
        <w:spacing w:line="240" w:lineRule="auto"/>
        <w:ind w:leftChars="0" w:right="1232" w:rightChars="400" w:firstLine="0" w:firstLineChars="0"/>
        <w:jc w:val="right"/>
        <w:textAlignment w:val="auto"/>
        <w:rPr>
          <w:rFonts w:hint="default" w:ascii="仿宋" w:hAnsi="仿宋" w:eastAsia="仿宋" w:cs="仿宋"/>
          <w:szCs w:val="32"/>
          <w:lang w:val="en-US" w:eastAsia="zh-CN"/>
        </w:rPr>
      </w:pPr>
      <mc:AlternateContent>
        <mc:Choice Requires="wpsCustomData">
          <wpsCustomData:docfieldStart id="1" docfieldname="成文日期_1" hidden="0" print="1" readonly="0" index="12"/>
        </mc:Choice>
      </mc:AlternateContent>
      <w:r>
        <w:rPr>
          <w:rFonts w:hint="eastAsia"/>
          <w:lang w:val="en-US" w:eastAsia="zh-CN"/>
        </w:rPr>
        <w:t>2026年9月15日</w:t>
      </w:r>
      <mc:AlternateContent>
        <mc:Choice Requires="wpsCustomData">
          <wpsCustomData:docfieldEnd id="1"/>
        </mc:Choice>
      </mc:AlternateContent>
    </w:p>
    <w:p w14:paraId="606482D1">
      <w:pPr>
        <w:rPr>
          <w:rFonts w:hint="eastAsia" w:ascii="Arial" w:hAnsi="Arial" w:eastAsia="宋体" w:cs="Arial"/>
          <w:i w:val="0"/>
          <w:iCs w:val="0"/>
          <w:caps w:val="0"/>
          <w:color w:val="555555"/>
          <w:spacing w:val="0"/>
          <w:sz w:val="24"/>
          <w:szCs w:val="24"/>
          <w:lang w:val="en-US" w:eastAsia="zh-CN"/>
        </w:rPr>
      </w:pPr>
    </w:p>
    <w:sectPr>
      <w:headerReference r:id="rId5" w:type="default"/>
      <w:footerReference r:id="rId7" w:type="default"/>
      <w:headerReference r:id="rId6" w:type="even"/>
      <w:footerReference r:id="rId8" w:type="even"/>
      <w:pgSz w:w="11906" w:h="16838"/>
      <w:pgMar w:top="1962" w:right="1474" w:bottom="1848" w:left="1587" w:header="851" w:footer="1049" w:gutter="0"/>
      <w:pgNumType w:fmt="decimal" w:start="1"/>
      <w:cols w:space="425" w:num="1"/>
      <w:docGrid w:type="linesAndChars" w:linePitch="592"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E8BAC74-F93B-4058-8479-C5AF7788A7E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52C3343B-7E3B-4E1D-ACEB-FF9AE724A4AF}"/>
  </w:font>
  <w:font w:name="仿宋_GB2312">
    <w:altName w:val="仿宋"/>
    <w:panose1 w:val="02010609030101010101"/>
    <w:charset w:val="86"/>
    <w:family w:val="modern"/>
    <w:pitch w:val="default"/>
    <w:sig w:usb0="00000000" w:usb1="00000000" w:usb2="00000000" w:usb3="00000000" w:csb0="00040000" w:csb1="00000000"/>
    <w:embedRegular r:id="rId3" w:fontKey="{21BE73DD-973E-4FF5-BFDF-5DD1B8B9DBAF}"/>
  </w:font>
  <w:font w:name="仿宋">
    <w:panose1 w:val="02010609060101010101"/>
    <w:charset w:val="86"/>
    <w:family w:val="auto"/>
    <w:pitch w:val="default"/>
    <w:sig w:usb0="800002BF" w:usb1="38CF7CFA" w:usb2="00000016" w:usb3="00000000" w:csb0="00040001" w:csb1="00000000"/>
    <w:embedRegular r:id="rId4" w:fontKey="{C87DDE23-AE76-4B05-8133-80854FF66A91}"/>
  </w:font>
  <w:font w:name="楷体_GB2312">
    <w:altName w:val="楷体"/>
    <w:panose1 w:val="00000000000000000000"/>
    <w:charset w:val="00"/>
    <w:family w:val="auto"/>
    <w:pitch w:val="default"/>
    <w:sig w:usb0="00000000" w:usb1="00000000" w:usb2="00000000" w:usb3="00000000" w:csb0="00000000" w:csb1="00000000"/>
    <w:embedRegular r:id="rId5" w:fontKey="{F67ED463-C54D-4960-B125-B55D8AB17E58}"/>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6" w:fontKey="{775979D8-0E71-434C-9B68-3D0585B195E1}"/>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EB07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7342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5027342F">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BEA2E">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E763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00AE763C">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02F67">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BB38C">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C70A51"/>
    <w:multiLevelType w:val="singleLevel"/>
    <w:tmpl w:val="B4C70A51"/>
    <w:lvl w:ilvl="0" w:tentative="0">
      <w:start w:val="1"/>
      <w:numFmt w:val="taiwaneseCounting"/>
      <w:suff w:val="nothing"/>
      <w:lvlText w:val="%1、"/>
      <w:lvlJc w:val="left"/>
      <w:pPr>
        <w:ind w:left="0" w:firstLine="640"/>
      </w:pPr>
      <w:rPr>
        <w:rFonts w:hint="eastAsia"/>
      </w:rPr>
    </w:lvl>
  </w:abstractNum>
  <w:abstractNum w:abstractNumId="1">
    <w:nsid w:val="BAF79CB1"/>
    <w:multiLevelType w:val="singleLevel"/>
    <w:tmpl w:val="BAF79CB1"/>
    <w:lvl w:ilvl="0" w:tentative="0">
      <w:start w:val="1"/>
      <w:numFmt w:val="chineseCounting"/>
      <w:suff w:val="nothing"/>
      <w:lvlText w:val="（%1）"/>
      <w:lvlJc w:val="left"/>
      <w:pPr>
        <w:ind w:left="0" w:firstLine="616"/>
      </w:pPr>
      <w:rPr>
        <w:rFonts w:hint="eastAsia"/>
      </w:rPr>
    </w:lvl>
  </w:abstractNum>
  <w:abstractNum w:abstractNumId="2">
    <w:nsid w:val="F149CBFA"/>
    <w:multiLevelType w:val="singleLevel"/>
    <w:tmpl w:val="F149CBFA"/>
    <w:lvl w:ilvl="0" w:tentative="0">
      <w:start w:val="1"/>
      <w:numFmt w:val="taiwaneseCounting"/>
      <w:suff w:val="nothing"/>
      <w:lvlText w:val="（%1）"/>
      <w:lvlJc w:val="left"/>
      <w:pPr>
        <w:ind w:left="0" w:firstLine="616"/>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evenAndOddHeaders w:val="1"/>
  <w:drawingGridHorizontalSpacing w:val="158"/>
  <w:drawingGridVerticalSpacing w:val="296"/>
  <w:displayHorizontalDrawingGridEvery w:val="2"/>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9C7E1C"/>
    <w:rsid w:val="022A58F5"/>
    <w:rsid w:val="0350044F"/>
    <w:rsid w:val="0639166E"/>
    <w:rsid w:val="069C7E1C"/>
    <w:rsid w:val="0CDA502B"/>
    <w:rsid w:val="123D6042"/>
    <w:rsid w:val="150369CD"/>
    <w:rsid w:val="1BB235FD"/>
    <w:rsid w:val="1BC81072"/>
    <w:rsid w:val="224C1B94"/>
    <w:rsid w:val="23CD644A"/>
    <w:rsid w:val="273F6164"/>
    <w:rsid w:val="2CA927FA"/>
    <w:rsid w:val="314C0871"/>
    <w:rsid w:val="31C03E09"/>
    <w:rsid w:val="3B0C4680"/>
    <w:rsid w:val="3B7B1805"/>
    <w:rsid w:val="40C17CBA"/>
    <w:rsid w:val="43C31971"/>
    <w:rsid w:val="45FF0D12"/>
    <w:rsid w:val="466510E8"/>
    <w:rsid w:val="48E46C3C"/>
    <w:rsid w:val="4CC748AA"/>
    <w:rsid w:val="58BF726D"/>
    <w:rsid w:val="668A5502"/>
    <w:rsid w:val="689773CF"/>
    <w:rsid w:val="691D346F"/>
    <w:rsid w:val="6E6763DE"/>
    <w:rsid w:val="70DB2947"/>
    <w:rsid w:val="772207AC"/>
    <w:rsid w:val="79EE2B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uto"/>
      <w:jc w:val="both"/>
    </w:pPr>
    <w:rPr>
      <w:rFonts w:ascii="仿宋_GB2312" w:hAnsi="仿宋_GB2312" w:eastAsia="仿宋_GB2312" w:cs="Times New Roman"/>
      <w:spacing w:val="-6"/>
      <w:kern w:val="2"/>
      <w:sz w:val="32"/>
      <w:szCs w:val="32"/>
      <w:lang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Times New Roman"/>
      <w:kern w:val="44"/>
      <w:sz w:val="32"/>
      <w:szCs w:val="32"/>
    </w:rPr>
  </w:style>
  <w:style w:type="paragraph" w:styleId="3">
    <w:name w:val="heading 2"/>
    <w:next w:val="1"/>
    <w:link w:val="19"/>
    <w:semiHidden/>
    <w:unhideWhenUsed/>
    <w:qFormat/>
    <w:uiPriority w:val="0"/>
    <w:pPr>
      <w:keepNext/>
      <w:keepLines/>
      <w:spacing w:beforeLines="0" w:beforeAutospacing="0" w:afterLines="0" w:afterAutospacing="0" w:line="560" w:lineRule="exact"/>
      <w:ind w:firstLine="894" w:firstLineChars="200"/>
      <w:outlineLvl w:val="1"/>
    </w:pPr>
    <w:rPr>
      <w:rFonts w:ascii="楷体_GB2312" w:hAnsi="楷体_GB2312" w:eastAsia="楷体_GB2312" w:cs="Times New Roman"/>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仿宋_GB2312" w:hAnsi="仿宋_GB2312" w:eastAsia="仿宋_GB2312" w:cs="Times New Roman"/>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仿宋_GB2312" w:hAnsi="仿宋_GB2312" w:eastAsia="仿宋_GB2312" w:cs="Times New Roman"/>
      <w:sz w:val="32"/>
      <w:szCs w:val="32"/>
    </w:rPr>
  </w:style>
  <w:style w:type="paragraph" w:styleId="6">
    <w:name w:val="heading 5"/>
    <w:next w:val="1"/>
    <w:semiHidden/>
    <w:unhideWhenUsed/>
    <w:qFormat/>
    <w:uiPriority w:val="0"/>
    <w:pPr>
      <w:spacing w:line="560" w:lineRule="exact"/>
      <w:ind w:firstLine="894" w:firstLineChars="200"/>
      <w:outlineLvl w:val="4"/>
    </w:pPr>
    <w:rPr>
      <w:rFonts w:ascii="仿宋_GB2312" w:hAnsi="仿宋_GB2312" w:eastAsia="仿宋_GB2312" w:cs="Times New Roman"/>
      <w:sz w:val="32"/>
      <w:szCs w:val="32"/>
    </w:rPr>
  </w:style>
  <w:style w:type="paragraph" w:styleId="7">
    <w:name w:val="heading 6"/>
    <w:next w:val="1"/>
    <w:semiHidden/>
    <w:unhideWhenUsed/>
    <w:qFormat/>
    <w:uiPriority w:val="0"/>
    <w:pPr>
      <w:spacing w:line="560" w:lineRule="exact"/>
      <w:ind w:firstLine="894" w:firstLineChars="200"/>
      <w:outlineLvl w:val="5"/>
    </w:pPr>
    <w:rPr>
      <w:rFonts w:ascii="仿宋_GB2312" w:hAnsi="仿宋_GB2312" w:eastAsia="仿宋_GB2312" w:cs="Times New Roman"/>
      <w:sz w:val="32"/>
      <w:szCs w:val="32"/>
    </w:rPr>
  </w:style>
  <w:style w:type="paragraph" w:styleId="8">
    <w:name w:val="heading 7"/>
    <w:next w:val="1"/>
    <w:semiHidden/>
    <w:unhideWhenUsed/>
    <w:qFormat/>
    <w:uiPriority w:val="0"/>
    <w:pPr>
      <w:spacing w:line="560" w:lineRule="exact"/>
      <w:ind w:firstLine="894" w:firstLineChars="200"/>
      <w:outlineLvl w:val="6"/>
    </w:pPr>
    <w:rPr>
      <w:rFonts w:ascii="仿宋_GB2312" w:hAnsi="仿宋_GB2312" w:eastAsia="仿宋_GB2312" w:cs="Times New Roman"/>
      <w:sz w:val="32"/>
      <w:szCs w:val="32"/>
    </w:rPr>
  </w:style>
  <w:style w:type="paragraph" w:styleId="9">
    <w:name w:val="heading 8"/>
    <w:next w:val="1"/>
    <w:semiHidden/>
    <w:unhideWhenUsed/>
    <w:qFormat/>
    <w:uiPriority w:val="0"/>
    <w:pPr>
      <w:spacing w:line="560" w:lineRule="exact"/>
      <w:ind w:firstLine="894" w:firstLineChars="200"/>
      <w:outlineLvl w:val="7"/>
    </w:pPr>
    <w:rPr>
      <w:rFonts w:ascii="仿宋_GB2312" w:hAnsi="仿宋_GB2312" w:eastAsia="仿宋_GB2312" w:cs="Times New Roman"/>
      <w:sz w:val="32"/>
      <w:szCs w:val="32"/>
    </w:rPr>
  </w:style>
  <w:style w:type="paragraph" w:styleId="10">
    <w:name w:val="heading 9"/>
    <w:next w:val="1"/>
    <w:semiHidden/>
    <w:unhideWhenUsed/>
    <w:qFormat/>
    <w:uiPriority w:val="0"/>
    <w:pPr>
      <w:spacing w:line="560" w:lineRule="exact"/>
      <w:ind w:firstLine="894" w:firstLineChars="200"/>
      <w:outlineLvl w:val="8"/>
    </w:pPr>
    <w:rPr>
      <w:rFonts w:ascii="仿宋_GB2312" w:hAnsi="仿宋_GB2312" w:eastAsia="仿宋_GB2312" w:cs="Times New Roman"/>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semiHidden/>
    <w:qFormat/>
    <w:uiPriority w:val="0"/>
    <w:pPr>
      <w:spacing w:line="560" w:lineRule="exact"/>
      <w:ind w:firstLine="630" w:firstLineChars="200"/>
      <w:jc w:val="both"/>
    </w:pPr>
    <w:rPr>
      <w:rFonts w:ascii="仿宋_GB2312" w:hAnsi="仿宋_GB2312" w:eastAsia="仿宋_GB2312" w:cs="Times New Roman"/>
      <w:spacing w:val="-6"/>
      <w:sz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560" w:lineRule="exact"/>
      <w:jc w:val="center"/>
      <w:outlineLvl w:val="1"/>
    </w:pPr>
    <w:rPr>
      <w:rFonts w:ascii="楷体_GB2312" w:hAnsi="楷体_GB2312" w:eastAsia="楷体_GB2312" w:cs="Times New Roman"/>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0"/>
    </w:pPr>
    <w:rPr>
      <w:rFonts w:ascii="方正小标宋简体" w:hAnsi="方正小标宋简体" w:eastAsia="方正小标宋简体" w:cs="Times New Roman"/>
      <w:sz w:val="44"/>
      <w:szCs w:val="44"/>
    </w:rPr>
  </w:style>
  <w:style w:type="character" w:customStyle="1" w:styleId="19">
    <w:name w:val="标题 2 Char"/>
    <w:link w:val="3"/>
    <w:qFormat/>
    <w:uiPriority w:val="0"/>
    <w:rPr>
      <w:rFonts w:ascii="楷体_GB2312" w:hAnsi="楷体_GB2312" w:eastAsia="楷体_GB2312" w:cs="Times New Roman"/>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162a301d-c3e5-40de-8f8f-d99432461e41</errorID>
      <errorWord>至2025年12</errorWord>
      <group>L1_Word</group>
      <groupName>字词问题</groupName>
      <ability>L2_Typo</ability>
      <abilityName>字词错误</abilityName>
      <candidateList>
        <item>截至2025年12</item>
      </candidateList>
      <explain/>
      <paraID>2D38C981</paraID>
      <start>9</start>
      <end>17</end>
      <status>ignored</status>
      <modifiedWord/>
      <trackRevisions>false</trackRevisions>
    </reviewItem>
    <reviewItem>
      <errorID>ec08ce26-16aa-4d64-a2bf-7ac00ab5d1b6</errorID>
      <errorWord>2026年1月1日</errorWord>
      <group>L1_Word</group>
      <groupName>字词问题</groupName>
      <ability>L2_Typo</ability>
      <abilityName>字词错误</abilityName>
      <candidateList>
        <item>2026年1月1日起</item>
      </candidateList>
      <explain/>
      <paraID>53F326E0</paraID>
      <start>0</start>
      <end>9</end>
      <status>ignored</status>
      <modifiedWord/>
      <trackRevisions>false</trackRevisions>
    </reviewItem>
    <reviewItem>
      <errorID>8c741251-e180-4aaa-994c-4dc99c6b1808</errorID>
      <errorWord>，</errorWord>
      <group>L1_Punc</group>
      <groupName>标点问题</groupName>
      <ability>L2_Punc_CN</ability>
      <abilityName>标点符号问题</abilityName>
      <candidateList>
        <item>、</item>
      </candidateList>
      <explain/>
      <paraID>42FB69F1</paraID>
      <start>17</start>
      <end>18</end>
      <status>ignored</status>
      <modifiedWord/>
      <trackRevisions>false</trackRevisions>
    </reviewItem>
    <reviewItem>
      <errorID>c2754636-784c-428a-97a7-e73ec1ba9aab</errorID>
      <errorWord>内</errorWord>
      <group>L1_Grammar</group>
      <groupName>语法问题</groupName>
      <ability>L2_Grammar</ability>
      <abilityName>语法错误</abilityName>
      <candidateList>
        <item>的企业</item>
      </candidateList>
      <explain/>
      <paraID>64AAD408</paraID>
      <start>30</start>
      <end>31</end>
      <status>ignored</status>
      <modifiedWord/>
      <trackRevisions>false</trackRevisions>
    </reviewItem>
    <reviewItem>
      <errorID>016e3e2c-6e46-45e0-88b7-8ea206313f60</errorID>
      <errorWord>没有发生</errorWord>
      <group>L1_Grammar</group>
      <groupName>语法问题</groupName>
      <ability>L2_Grammar</ability>
      <abilityName>语法错误</abilityName>
      <candidateList>
        <item>没有</item>
      </candidateList>
      <explain/>
      <paraID>204B4019</paraID>
      <start>8</start>
      <end>10</end>
      <status>modified</status>
      <modifiedWord>没有</modifiedWord>
      <trackRevisions>false</trackRevisions>
    </reviewItem>
    <reviewItem>
      <errorID>206eba55-5986-4b84-bef1-052c13a43c20</errorID>
      <errorWord>2023</errorWord>
      <group>L1_Word</group>
      <groupName>字词问题</groupName>
      <ability>L2_Typo</ability>
      <abilityName>字词错误</abilityName>
      <candidateList>
        <item>的2023</item>
      </candidateList>
      <explain/>
      <paraID>204B4019</paraID>
      <start>21</start>
      <end>25</end>
      <status>ignored</status>
      <modifiedWord/>
      <trackRevisions>false</trackRevisions>
    </reviewItem>
    <reviewItem>
      <errorID>cebbe5bc-1971-4f32-a419-9b330a2b69ab</errorID>
      <errorWord>具有</errorWord>
      <group>L1_Grammar</group>
      <groupName>语法问题</groupName>
      <ability>L2_Grammar</ability>
      <abilityName>语法错误</abilityName>
      <candidateList>
        <item>响应服务商须是具有</item>
      </candidateList>
      <explain/>
      <paraID> 8389099</paraID>
      <start>0</start>
      <end>2</end>
      <status>ignored</status>
      <modifiedWord/>
      <trackRevisions>false</trackRevisions>
    </reviewItem>
    <reviewItem>
      <errorID>96333922-51b4-452f-9dfa-a55eeef10cc3</errorID>
      <errorWord>的具有</errorWord>
      <group>L1_Grammar</group>
      <groupName>语法问题</groupName>
      <ability>L2_Grammar</ability>
      <abilityName>语法错误</abilityName>
      <candidateList>
        <item>的</item>
      </candidateList>
      <explain/>
      <paraID> 8389099</paraID>
      <start>16</start>
      <end>19</end>
      <status>ignored</status>
      <modifiedWord/>
      <trackRevisions>false</trackRevisions>
    </reviewItem>
    <reviewItem>
      <errorID>b7d60f2b-d3d9-4880-8319-4bce9b2f2518</errorID>
      <errorWord>及</errorWord>
      <group>L1_Grammar</group>
      <groupName>语法问题</groupName>
      <ability>L2_Grammar</ability>
      <abilityName>语法错误</abilityName>
      <candidateList>
        <item>监测、</item>
      </candidateList>
      <explain/>
      <paraID>1C321852</paraID>
      <start>15</start>
      <end>16</end>
      <status>ignored</status>
      <modifiedWord/>
      <trackRevisions>false</trackRevisions>
    </reviewItem>
    <reviewItem>
      <errorID>5d2b3db2-ce58-4b1f-8186-635902abd092</errorID>
      <errorWord>及</errorWord>
      <group>L1_Grammar</group>
      <groupName>语法问题</groupName>
      <ability>L2_Grammar</ability>
      <abilityName>语法错误</abilityName>
      <candidateList>
        <item>收集工作，以及</item>
      </candidateList>
      <explain/>
      <paraID>1C321852</paraID>
      <start>26</start>
      <end>27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59307d-e78a-4312-9b8c-9f30a8c79d40}">
  <ds:schemaRefs/>
</ds:datastoreItem>
</file>

<file path=docProps/app.xml><?xml version="1.0" encoding="utf-8"?>
<Properties xmlns="http://schemas.openxmlformats.org/officeDocument/2006/extended-properties" xmlns:vt="http://schemas.openxmlformats.org/officeDocument/2006/docPropsVTypes">
  <Template>Normal.dotm</Template>
  <Pages>3</Pages>
  <Words>981</Words>
  <Characters>1032</Characters>
  <Lines>0</Lines>
  <Paragraphs>0</Paragraphs>
  <TotalTime>3</TotalTime>
  <ScaleCrop>false</ScaleCrop>
  <LinksUpToDate>false</LinksUpToDate>
  <CharactersWithSpaces>1055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2025-08-04T11:05:00Z</dcterms:created>
  <dc:creator>保</dc:creator>
  <cp:lastModifiedBy>保</cp:lastModifiedBy>
  <dcterms:modified xsi:type="dcterms:W3CDTF">2026-09-15T02:20:02Z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70A56B8309A3427093F45AADDA3FDE05_13</vt:lpwstr>
  </property>
  <property fmtid="{D5CDD505-2E9C-101B-9397-08002B2CF9AE}" pid="4" name="KSOTemplateDocerSaveRecord">
    <vt:lpwstr>eyJoZGlkIjoiOTQ4NjhjZTg1ZjBjMjhhY2FkNjM1ODVjZTk0Mzc4N2YiLCJ1c2VySWQiOiI1NTQ0MTEwMDkifQ==</vt:lpwstr>
  </property>
</Properties>
</file>